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bc4a465ccc1447c6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3EEC58C6" w:rsidP="7C9A623C" w:rsidRDefault="3EEC58C6" w14:paraId="2ED26545" w14:textId="0BFC1320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7C9A623C" w:rsidR="3EEC58C6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Prijedlog godišnjeg izvedbenog kurikuluma za Grčki jezik u 1. razredu srednje škole za školsku godinu 2020./2021. </w:t>
      </w:r>
    </w:p>
    <w:p w:rsidR="3EEC58C6" w:rsidP="7C9A623C" w:rsidRDefault="3EEC58C6" w14:paraId="3A8345DF" w14:textId="0C6E8942">
      <w:pPr>
        <w:pStyle w:val="Normal"/>
        <w:spacing w:line="240" w:lineRule="auto"/>
      </w:pPr>
      <w:r w:rsidRPr="7C9A623C" w:rsidR="3EEC58C6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 </w:t>
      </w:r>
      <w:r w:rsidRPr="7C9A623C" w:rsidR="3EEC58C6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(početnici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PREDMET: Grčki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RAZRED: 1.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421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90"/>
        <w:gridCol w:w="3210"/>
        <w:gridCol w:w="3210"/>
        <w:gridCol w:w="3210"/>
        <w:gridCol w:w="2790"/>
      </w:tblGrid>
      <w:tr xmlns:wp14="http://schemas.microsoft.com/office/word/2010/wordml" w:rsidTr="7D786290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D786290" w14:paraId="581C57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D786290" w14:paraId="2DC6734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C.1.1. </w:t>
            </w:r>
          </w:p>
          <w:p w:rsidRPr="00000000" w:rsidR="00000000" w:rsidDel="00000000" w:rsidP="00000000" w:rsidRDefault="00000000" w14:paraId="000000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činjenice i pojmove vezane uz povijest grčkog naroda i jezika u vremenu i prostoru.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bookmarkStart w:name="_heading=h.gjdgxs" w:colFirst="0" w:colLast="0" w:id="1792624588"/>
            <w:bookmarkEnd w:id="1792624588"/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upoznavanje, kriteriji i elementi vrednovanja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Uvod u grčki jezik</w:t>
            </w:r>
          </w:p>
        </w:tc>
      </w:tr>
      <w:tr xmlns:wp14="http://schemas.microsoft.com/office/word/2010/wordml" w:rsidTr="7D786290" w14:paraId="41247B5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C.1.1. </w:t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činjenice i pojmove vezane uz povijest grčkog naroda i jezika u vremenu i prostoru.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Grčke pokrajine i dijalekti</w:t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Grčki alfabet</w:t>
            </w:r>
          </w:p>
        </w:tc>
      </w:tr>
      <w:tr xmlns:wp14="http://schemas.microsoft.com/office/word/2010/wordml" w:rsidTr="7D786290" w14:paraId="51B1A5B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2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2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2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Kozmogonija i teogonija</w:t>
            </w:r>
          </w:p>
          <w:p w:rsidRPr="00000000" w:rsidR="00000000" w:rsidDel="00000000" w:rsidP="00000000" w:rsidRDefault="00000000" w14:paraId="0000002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Fonologija</w:t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Pravila čitanja i pisanja</w:t>
            </w:r>
          </w:p>
        </w:tc>
      </w:tr>
      <w:tr xmlns:wp14="http://schemas.microsoft.com/office/word/2010/wordml" w:rsidTr="7D786290" w14:paraId="11B6E22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3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Kozmogonija i teogonija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Naglašavanje u grčkom jeziku</w:t>
            </w:r>
          </w:p>
        </w:tc>
      </w:tr>
      <w:tr xmlns:wp14="http://schemas.microsoft.com/office/word/2010/wordml" w:rsidTr="7D786290" w14:paraId="16AF4B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Olimpski bogovi</w:t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Afrodita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 deklinacija m. / ind. prez. akt.</w:t>
            </w:r>
          </w:p>
        </w:tc>
      </w:tr>
      <w:tr xmlns:wp14="http://schemas.microsoft.com/office/word/2010/wordml" w:rsidTr="7D786290" w14:paraId="513010C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Olimpski bogovi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Apolon i Artemida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 deklinacija n. / glagol biti</w:t>
            </w:r>
          </w:p>
        </w:tc>
      </w:tr>
      <w:tr xmlns:wp14="http://schemas.microsoft.com/office/word/2010/wordml" w:rsidTr="7D786290" w14:paraId="3CDCFED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Olimpski bogovi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npr.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Hermo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sistematizacija</w:t>
            </w:r>
          </w:p>
        </w:tc>
      </w:tr>
      <w:tr xmlns:wp14="http://schemas.microsoft.com/office/word/2010/wordml" w:rsidTr="7D786290" w14:paraId="70E9FE1F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C.1.1. 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činjenice i pojmove vezane uz povijest grčkog naroda i jezika u vremenu i prostoru. 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7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Grčka svetišta</w:t>
            </w:r>
          </w:p>
        </w:tc>
      </w:tr>
      <w:tr xmlns:wp14="http://schemas.microsoft.com/office/word/2010/wordml" w:rsidTr="7D786290" w14:paraId="078FD62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Olimpski bogovi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Pandora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 deklinacija, dugo alfa</w:t>
            </w:r>
          </w:p>
        </w:tc>
      </w:tr>
      <w:tr xmlns:wp14="http://schemas.microsoft.com/office/word/2010/wordml" w:rsidTr="7D786290" w14:paraId="34E5203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studenog –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8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Olimpski bogovi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Demetra i Perzefona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 deklinacija, kratko alfa</w:t>
            </w:r>
          </w:p>
        </w:tc>
      </w:tr>
      <w:tr xmlns:wp14="http://schemas.microsoft.com/office/word/2010/wordml" w:rsidTr="7D786290" w14:paraId="0ADD2C4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Olimpski bogovi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Hera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 deklinacija, masculina</w:t>
            </w:r>
          </w:p>
        </w:tc>
      </w:tr>
      <w:tr xmlns:wp14="http://schemas.microsoft.com/office/word/2010/wordml" w:rsidTr="7D786290" w14:paraId="112B9DB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C.1.1. 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činjenice i pojmove vezane uz povijest grčkog naroda i jezika u vremenu i prostoru. 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Grčka okupljališta</w:t>
            </w:r>
          </w:p>
        </w:tc>
      </w:tr>
      <w:tr xmlns:wp14="http://schemas.microsoft.com/office/word/2010/wordml" w:rsidTr="7D786290" w14:paraId="50B396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sistematizacija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D786290" w14:paraId="29D1E9A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B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B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B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Minojski ciklus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Kretski bik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imp. i inf. prez. akt.</w:t>
            </w:r>
          </w:p>
        </w:tc>
      </w:tr>
      <w:tr xmlns:wp14="http://schemas.microsoft.com/office/word/2010/wordml" w:rsidTr="7D786290" w14:paraId="26B62876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C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C.1.3. 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 događaje i područja u Hrvatskoj povezane s grčkom civilizacijom i mitologijom.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C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C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Minojski ciklus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Tezej i Arijadna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pridjevi O i A deklinacije 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D786290" w14:paraId="23C87E6A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D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D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D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Minojski ciklus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Dedal i Ikar, kontekstualizacija</w:t>
            </w:r>
          </w:p>
        </w:tc>
      </w:tr>
      <w:tr xmlns:wp14="http://schemas.microsoft.com/office/word/2010/wordml" w:rsidTr="7D786290" w14:paraId="2D87A4D9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C.1.1. 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činjenice i pojmove vezane uz povijest grčkog naroda i jezika u vremenu i prostoru.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Grčka kolonizacija</w:t>
            </w:r>
          </w:p>
        </w:tc>
      </w:tr>
      <w:tr xmlns:wp14="http://schemas.microsoft.com/office/word/2010/wordml" w:rsidTr="7D786290" w14:paraId="777F95C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C.1.3. 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 događaje i područja u Hrvatskoj povezane s grčkom civilizacijom i mitologijom.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Minojski ciklus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Hipolit i Fedra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mediopasiv</w:t>
            </w:r>
          </w:p>
        </w:tc>
      </w:tr>
      <w:tr xmlns:wp14="http://schemas.microsoft.com/office/word/2010/wordml" w:rsidTr="7D786290" w14:paraId="4BA1DAB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Argonauti</w:t>
            </w:r>
          </w:p>
          <w:p w:rsidRPr="00000000" w:rsidR="00000000" w:rsidDel="00000000" w:rsidP="00000000" w:rsidRDefault="00000000" w14:paraId="0000010D" wp14:textId="4603271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7D786290" w:rsidR="00000000">
              <w:rPr>
                <w:rFonts w:ascii="Calibri" w:hAnsi="Calibri" w:eastAsia="Calibri" w:cs="Calibri"/>
              </w:rPr>
              <w:t xml:space="preserve">npr. </w:t>
            </w:r>
            <w:r w:rsidRPr="7D786290" w:rsidR="2840D20C">
              <w:rPr>
                <w:rFonts w:ascii="Calibri" w:hAnsi="Calibri" w:eastAsia="Calibri" w:cs="Calibri"/>
              </w:rPr>
              <w:t>Jazon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augment, impf. akt.</w:t>
            </w:r>
          </w:p>
        </w:tc>
      </w:tr>
      <w:tr xmlns:wp14="http://schemas.microsoft.com/office/word/2010/wordml" w:rsidTr="7D786290" w14:paraId="48D4658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Argonauti</w:t>
            </w:r>
          </w:p>
          <w:p w:rsidRPr="00000000" w:rsidR="00000000" w:rsidDel="00000000" w:rsidP="00000000" w:rsidRDefault="00000000" w14:paraId="0000011D" wp14:textId="56C4778B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7D786290" w:rsidR="00000000">
              <w:rPr>
                <w:rFonts w:ascii="Calibri" w:hAnsi="Calibri" w:eastAsia="Calibri" w:cs="Calibri"/>
              </w:rPr>
              <w:t xml:space="preserve">npr. </w:t>
            </w:r>
            <w:r w:rsidRPr="7D786290" w:rsidR="50057B3C">
              <w:rPr>
                <w:rFonts w:ascii="Calibri" w:hAnsi="Calibri" w:eastAsia="Calibri" w:cs="Calibri"/>
              </w:rPr>
              <w:t>Jazon</w:t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impf. medpas.</w:t>
            </w:r>
          </w:p>
        </w:tc>
      </w:tr>
      <w:tr xmlns:wp14="http://schemas.microsoft.com/office/word/2010/wordml" w:rsidTr="7D786290" w14:paraId="65B26C3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Argonauti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Pelej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III. deklinacija (kons. osnove)</w:t>
            </w:r>
          </w:p>
        </w:tc>
      </w:tr>
      <w:tr xmlns:wp14="http://schemas.microsoft.com/office/word/2010/wordml" w:rsidTr="7D786290" w14:paraId="24D1F3E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C.1.3. 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 događaje i područja u Hrvatskoj povezane s grčkom civilizacijom i mitologijom.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Argonauti</w:t>
            </w:r>
          </w:p>
          <w:p w:rsidRPr="00000000" w:rsidR="00000000" w:rsidDel="00000000" w:rsidP="00000000" w:rsidRDefault="00000000" w14:paraId="00000140" wp14:textId="58C9B7C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7D786290" w:rsidR="00000000">
              <w:rPr>
                <w:rFonts w:ascii="Calibri" w:hAnsi="Calibri" w:eastAsia="Calibri" w:cs="Calibri"/>
              </w:rPr>
              <w:t xml:space="preserve">npr. </w:t>
            </w:r>
            <w:r w:rsidRPr="7D786290" w:rsidR="4E8502CF">
              <w:rPr>
                <w:rFonts w:ascii="Calibri" w:hAnsi="Calibri" w:eastAsia="Calibri" w:cs="Calibri"/>
              </w:rPr>
              <w:t>Orfej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III. deklinacija (kons. osnove)</w:t>
            </w:r>
          </w:p>
        </w:tc>
      </w:tr>
      <w:tr xmlns:wp14="http://schemas.microsoft.com/office/word/2010/wordml" w:rsidTr="7D786290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bookmarkStart w:name="_heading=h.30j0zll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D786290" w14:paraId="3FA4B308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C.1.3. 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 događaje i područja u Hrvatskoj povezane s grčkom civilizacijom i mitologijom.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4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Argonauti</w:t>
            </w:r>
          </w:p>
          <w:p w:rsidRPr="00000000" w:rsidR="00000000" w:rsidDel="00000000" w:rsidP="00000000" w:rsidRDefault="00000000" w14:paraId="00000157" wp14:textId="2901FC9D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70BFA4B" w:rsidR="00000000">
              <w:rPr>
                <w:rFonts w:ascii="Calibri" w:hAnsi="Calibri" w:eastAsia="Calibri" w:cs="Calibri"/>
              </w:rPr>
              <w:t xml:space="preserve">npr. </w:t>
            </w:r>
            <w:r w:rsidRPr="070BFA4B" w:rsidR="7295FCDB">
              <w:rPr>
                <w:rFonts w:ascii="Calibri" w:hAnsi="Calibri" w:eastAsia="Calibri" w:cs="Calibri"/>
              </w:rPr>
              <w:t>Atalanta</w:t>
            </w:r>
          </w:p>
          <w:p w:rsidRPr="00000000" w:rsidR="00000000" w:rsidDel="00000000" w:rsidP="070BFA4B" w:rsidRDefault="00000000" w14:paraId="00000158" wp14:textId="3263916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proofErr w:type="spellStart"/>
            <w:r w:rsidRPr="070BFA4B" w:rsidR="7295FCDB">
              <w:rPr>
                <w:rFonts w:ascii="Calibri" w:hAnsi="Calibri" w:eastAsia="Calibri" w:cs="Calibri"/>
              </w:rPr>
              <w:t>Verba</w:t>
            </w:r>
            <w:proofErr w:type="spellEnd"/>
            <w:r w:rsidRPr="070BFA4B" w:rsidR="7295FCDB">
              <w:rPr>
                <w:rFonts w:ascii="Calibri" w:hAnsi="Calibri" w:eastAsia="Calibri" w:cs="Calibri"/>
              </w:rPr>
              <w:t xml:space="preserve"> contracta</w:t>
            </w:r>
          </w:p>
        </w:tc>
      </w:tr>
      <w:tr xmlns:wp14="http://schemas.microsoft.com/office/word/2010/wordml" w:rsidTr="7D786290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sistematizacija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D786290" w14:paraId="3B0C9B9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Mikenski ciklus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70BFA4B" w:rsidR="00000000">
              <w:rPr>
                <w:rFonts w:ascii="Calibri" w:hAnsi="Calibri" w:eastAsia="Calibri" w:cs="Calibri"/>
              </w:rPr>
              <w:t xml:space="preserve">npr. Tantal i </w:t>
            </w:r>
            <w:proofErr w:type="spellStart"/>
            <w:r w:rsidRPr="070BFA4B" w:rsidR="00000000">
              <w:rPr>
                <w:rFonts w:ascii="Calibri" w:hAnsi="Calibri" w:eastAsia="Calibri" w:cs="Calibri"/>
              </w:rPr>
              <w:t>Pelop</w:t>
            </w:r>
            <w:proofErr w:type="spellEnd"/>
          </w:p>
          <w:p w:rsidR="0ABC95BF" w:rsidP="070BFA4B" w:rsidRDefault="0ABC95BF" w14:paraId="640492FE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70BFA4B" w:rsidR="0ABC95BF">
              <w:rPr>
                <w:rFonts w:ascii="Calibri" w:hAnsi="Calibri" w:eastAsia="Calibri" w:cs="Calibri"/>
              </w:rPr>
              <w:t>III. deklinacija (kons. osnove)</w:t>
            </w:r>
          </w:p>
          <w:p w:rsidR="070BFA4B" w:rsidP="070BFA4B" w:rsidRDefault="070BFA4B" w14:paraId="2B4C6374" w14:textId="3C89121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  <w:p w:rsidRPr="00000000" w:rsidR="00000000" w:rsidDel="00000000" w:rsidP="00000000" w:rsidRDefault="00000000" w14:paraId="0000016D" wp14:textId="63CD6068">
            <w:pPr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7D786290" w14:paraId="5297FC2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7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Mikenski ciklus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Perzej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pridjevi III. deklinacije</w:t>
            </w:r>
          </w:p>
        </w:tc>
      </w:tr>
      <w:tr xmlns:wp14="http://schemas.microsoft.com/office/word/2010/wordml" w:rsidTr="7D786290" w14:paraId="5B88C6C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Mikenski ciklus</w:t>
            </w:r>
          </w:p>
          <w:p w:rsidRPr="00000000" w:rsidR="00000000" w:rsidDel="00000000" w:rsidP="00000000" w:rsidRDefault="00000000" w14:paraId="0000018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Ifigenija u Aulidi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particip prezenta</w:t>
            </w:r>
          </w:p>
        </w:tc>
      </w:tr>
      <w:tr xmlns:wp14="http://schemas.microsoft.com/office/word/2010/wordml" w:rsidTr="7D786290" w14:paraId="6EE9656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Mikenski ciklus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Agamemnonova sudbina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kontekstualizacija</w:t>
            </w:r>
          </w:p>
        </w:tc>
      </w:tr>
      <w:tr xmlns:wp14="http://schemas.microsoft.com/office/word/2010/wordml" w:rsidTr="7D786290" w14:paraId="15B99C8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Trojanski ciklus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Kasandra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Osobitosti konsonantskih osnova</w:t>
            </w:r>
          </w:p>
        </w:tc>
      </w:tr>
      <w:tr xmlns:wp14="http://schemas.microsoft.com/office/word/2010/wordml" w:rsidTr="7D786290" w14:paraId="28EB67B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B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Trojanski ciklus</w:t>
            </w:r>
          </w:p>
          <w:p w:rsidRPr="00000000" w:rsidR="00000000" w:rsidDel="00000000" w:rsidP="00000000" w:rsidRDefault="00000000" w14:paraId="000001B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Helena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pridjevi s osobitostima</w:t>
            </w:r>
          </w:p>
        </w:tc>
      </w:tr>
      <w:tr xmlns:wp14="http://schemas.microsoft.com/office/word/2010/wordml" w:rsidTr="7D786290" w14:paraId="5333AFE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C.1.1. 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činjenice i pojmove vezane uz povijest grčkog naroda i jezika u vremenu i prostoru.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Grčka svakodnevica</w:t>
            </w:r>
          </w:p>
        </w:tc>
      </w:tr>
      <w:tr xmlns:wp14="http://schemas.microsoft.com/office/word/2010/wordml" w:rsidTr="7D786290" w14:paraId="5A49FD13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10.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C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C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Trojanski ciklus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Parisova sudbina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III. deklinacija, osobna imena</w:t>
            </w:r>
          </w:p>
        </w:tc>
      </w:tr>
      <w:tr xmlns:wp14="http://schemas.microsoft.com/office/word/2010/wordml" w:rsidTr="7D786290" w14:paraId="48E3669A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17.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D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D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D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D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Tebanski ciklus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Kadmo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III. deklinacija, vokalske osnove</w:t>
            </w:r>
          </w:p>
        </w:tc>
      </w:tr>
      <w:tr xmlns:wp14="http://schemas.microsoft.com/office/word/2010/wordml" w:rsidTr="7D786290" w14:paraId="5E9EF86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24.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sistematizacija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D786290" w14:paraId="04C59A49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31.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Tebanski ciklus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Edip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pridjevi vokalskih osnova</w:t>
            </w:r>
          </w:p>
        </w:tc>
      </w:tr>
      <w:tr xmlns:wp14="http://schemas.microsoft.com/office/word/2010/wordml" w:rsidTr="7D786290" w14:paraId="1A5D7B0F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0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Tebanski ciklus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Edipovo potomstvo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glagoli na -μι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D786290" w14:paraId="1B42229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zaključivanje ocjena</w:t>
            </w:r>
          </w:p>
        </w:tc>
      </w:tr>
      <w:tr xmlns:wp14="http://schemas.microsoft.com/office/word/2010/wordml" w:rsidTr="7D786290" w14:paraId="672A6659" wp14:textId="77777777">
        <w:tc>
          <w:tcPr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15" wp14:textId="77777777">
      <w:pPr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16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17" wp14:textId="77777777">
      <w:pPr>
        <w:spacing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Fonts w:ascii="Calibri" w:hAnsi="Calibri" w:eastAsia="Calibri" w:cs="Calibri"/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18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Fonts w:ascii="Calibri" w:hAnsi="Calibri" w:eastAsia="Calibri" w:cs="Calibri"/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1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1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1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1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1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1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1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2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2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2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2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2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25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26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27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2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2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2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2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2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2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2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2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3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31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2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33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34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3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3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3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3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3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3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3B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C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3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3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3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4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4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4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4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4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4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4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9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4A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4C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4D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E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50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51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57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58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DC22FD"/>
  <w15:docId w15:val="{4efe094b-d595-4949-aaec-48185b97af94}"/>
  <w:rsids>
    <w:rsidRoot w:val="0EFEA25C"/>
    <w:rsid w:val="00000000"/>
    <w:rsid w:val="070BFA4B"/>
    <w:rsid w:val="0ABC95BF"/>
    <w:rsid w:val="0EFEA25C"/>
    <w:rsid w:val="12EB1378"/>
    <w:rsid w:val="2840D20C"/>
    <w:rsid w:val="2E354199"/>
    <w:rsid w:val="3EEC58C6"/>
    <w:rsid w:val="4E8502CF"/>
    <w:rsid w:val="50057B3C"/>
    <w:rsid w:val="7295FCDB"/>
    <w:rsid w:val="7C9A623C"/>
    <w:rsid w:val="7D786290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Heading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Mr2G1cLSZ/CdsXHLJQ8a/7MHg==">AMUW2mV1V+STbLNutqr4oSH+SzzwBh7Jn2lAuWl8LbWXn14Pry03g+1F7T62OsOhj7/uwJEadjuGFphO3KPiXQMFNshvG5TgDwW3Z1SLVmAO23F72kM+sAWuKGIZC6Nza0xAQKOGJ9Bs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768F5A6-F6FF-4B71-BFFB-D017AF07E19A}"/>
</file>

<file path=customXML/itemProps3.xml><?xml version="1.0" encoding="utf-8"?>
<ds:datastoreItem xmlns:ds="http://schemas.openxmlformats.org/officeDocument/2006/customXml" ds:itemID="{5BBBDC61-7265-4480-947E-0E6B3F3E0848}"/>
</file>

<file path=customXML/itemProps4.xml><?xml version="1.0" encoding="utf-8"?>
<ds:datastoreItem xmlns:ds="http://schemas.openxmlformats.org/officeDocument/2006/customXml" ds:itemID="{DB01C88F-B34F-4392-A2E7-8A4A50776DC7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2020-08-29T16:18:00Z</dcterms:created>
  <dcterms:modified xsi:type="dcterms:W3CDTF">2020-09-30T10:50:23Z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